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22.png" ContentType="image/png"/>
  <Override PartName="/word/media/rId24.png" ContentType="image/png"/>
  <Override PartName="/word/media/rId26.png" ContentType="image/png"/>
  <Override PartName="/word/media/rId28.png" ContentType="image/png"/>
  <Override PartName="/word/media/rId30.png" ContentType="image/png"/>
  <Override PartName="/word/media/rId32.png" ContentType="image/png"/>
  <Override PartName="/word/media/rId34.tiff" ContentType="image/tiff"/>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bookmarkStart w:id="21" w:name="supplementary-figure-1"/>
    <w:p>
      <w:pPr>
        <w:pStyle w:val="Heading1"/>
      </w:pPr>
      <w:r>
        <w:t xml:space="preserve">Supplementary figure 1</w:t>
      </w:r>
    </w:p>
    <w:p>
      <w:pPr>
        <w:pStyle w:val="CaptionedFigure"/>
      </w:pPr>
      <w:r>
        <w:drawing>
          <wp:inline>
            <wp:extent cx="5334000" cy="2771741"/>
            <wp:effectExtent b="0" l="0" r="0" t="0"/>
            <wp:docPr descr="APRs Shannon’s entropy (H) content." title="" id="1" name="Picture"/>
            <a:graphic>
              <a:graphicData uri="http://schemas.openxmlformats.org/drawingml/2006/picture">
                <pic:pic>
                  <pic:nvPicPr>
                    <pic:cNvPr descr="suppl_figure1.png" id="0" name="Picture"/>
                    <pic:cNvPicPr>
                      <a:picLocks noChangeArrowheads="1" noChangeAspect="1"/>
                    </pic:cNvPicPr>
                  </pic:nvPicPr>
                  <pic:blipFill>
                    <a:blip r:embed="rId20"/>
                    <a:stretch>
                      <a:fillRect/>
                    </a:stretch>
                  </pic:blipFill>
                  <pic:spPr bwMode="auto">
                    <a:xfrm>
                      <a:off x="0" y="0"/>
                      <a:ext cx="5334000" cy="2771741"/>
                    </a:xfrm>
                    <a:prstGeom prst="rect">
                      <a:avLst/>
                    </a:prstGeom>
                    <a:noFill/>
                    <a:ln w="9525">
                      <a:noFill/>
                      <a:headEnd/>
                      <a:tailEnd/>
                    </a:ln>
                  </pic:spPr>
                </pic:pic>
              </a:graphicData>
            </a:graphic>
          </wp:inline>
        </w:drawing>
      </w:r>
    </w:p>
    <w:p>
      <w:pPr>
        <w:pStyle w:val="ImageCaption"/>
      </w:pPr>
      <w:r>
        <w:t xml:space="preserve">APRs Shannon’s entropy (H) content.</w:t>
      </w:r>
    </w:p>
    <w:bookmarkEnd w:id="21"/>
    <w:bookmarkStart w:id="23" w:name="supplementary-figure-2"/>
    <w:p>
      <w:pPr>
        <w:pStyle w:val="Heading1"/>
      </w:pPr>
      <w:r>
        <w:t xml:space="preserve">Supplementary figure 2</w:t>
      </w:r>
    </w:p>
    <w:p>
      <w:pPr>
        <w:pStyle w:val="CaptionedFigure"/>
      </w:pPr>
      <w:r>
        <w:drawing>
          <wp:inline>
            <wp:extent cx="4068927" cy="8758667"/>
            <wp:effectExtent b="0" l="0" r="0" t="0"/>
            <wp:docPr descr="Maximum likelihood phylogeny inferred from a multiple sequence alignment of sarcopteriigyan apoA-I sequences. Black dots indicate node support values greater than 90% (calculated using 1000 replicates of UltraFast Bootstrap)." title="" id="1" name="Picture"/>
            <a:graphic>
              <a:graphicData uri="http://schemas.openxmlformats.org/drawingml/2006/picture">
                <pic:pic>
                  <pic:nvPicPr>
                    <pic:cNvPr descr="suppl_figure2.png" id="0" name="Picture"/>
                    <pic:cNvPicPr>
                      <a:picLocks noChangeArrowheads="1" noChangeAspect="1"/>
                    </pic:cNvPicPr>
                  </pic:nvPicPr>
                  <pic:blipFill>
                    <a:blip r:embed="rId22"/>
                    <a:stretch>
                      <a:fillRect/>
                    </a:stretch>
                  </pic:blipFill>
                  <pic:spPr bwMode="auto">
                    <a:xfrm>
                      <a:off x="0" y="0"/>
                      <a:ext cx="4068927" cy="8758667"/>
                    </a:xfrm>
                    <a:prstGeom prst="rect">
                      <a:avLst/>
                    </a:prstGeom>
                    <a:noFill/>
                    <a:ln w="9525">
                      <a:noFill/>
                      <a:headEnd/>
                      <a:tailEnd/>
                    </a:ln>
                  </pic:spPr>
                </pic:pic>
              </a:graphicData>
            </a:graphic>
          </wp:inline>
        </w:drawing>
      </w:r>
    </w:p>
    <w:p>
      <w:pPr>
        <w:pStyle w:val="ImageCaption"/>
      </w:pPr>
      <w:r>
        <w:t xml:space="preserve">Maximum likelihood phylogeny inferred from a multiple sequence alignment of sarcopteriigyan apoA-I sequences. Black dots indicate node support values greater than 90% (calculated using 1000 replicates of UltraFast Bootstrap).</w:t>
      </w:r>
    </w:p>
    <w:bookmarkEnd w:id="23"/>
    <w:bookmarkStart w:id="25" w:name="supplementary-figure-3"/>
    <w:p>
      <w:pPr>
        <w:pStyle w:val="Heading1"/>
      </w:pPr>
      <w:r>
        <w:t xml:space="preserve">Supplementary figure 3</w:t>
      </w:r>
    </w:p>
    <w:p>
      <w:pPr>
        <w:pStyle w:val="CaptionedFigure"/>
      </w:pPr>
      <w:r>
        <w:drawing>
          <wp:inline>
            <wp:extent cx="5334000" cy="1908458"/>
            <wp:effectExtent b="0" l="0" r="0" t="0"/>
            <wp:docPr descr="A Evolutionary rate (dN/dS) for each residue in the apoA-I codon alignment. B Cartoon depicting the evidence of adaptive evolution for each site of apoA-I sequence; residues under purifying, neutral and diversifying selection are colored in blue, paleblue and orange, respectively." title="" id="1" name="Picture"/>
            <a:graphic>
              <a:graphicData uri="http://schemas.openxmlformats.org/drawingml/2006/picture">
                <pic:pic>
                  <pic:nvPicPr>
                    <pic:cNvPr descr="suppl_figure3.png" id="0" name="Picture"/>
                    <pic:cNvPicPr>
                      <a:picLocks noChangeArrowheads="1" noChangeAspect="1"/>
                    </pic:cNvPicPr>
                  </pic:nvPicPr>
                  <pic:blipFill>
                    <a:blip r:embed="rId24"/>
                    <a:stretch>
                      <a:fillRect/>
                    </a:stretch>
                  </pic:blipFill>
                  <pic:spPr bwMode="auto">
                    <a:xfrm>
                      <a:off x="0" y="0"/>
                      <a:ext cx="5334000" cy="1908458"/>
                    </a:xfrm>
                    <a:prstGeom prst="rect">
                      <a:avLst/>
                    </a:prstGeom>
                    <a:noFill/>
                    <a:ln w="9525">
                      <a:noFill/>
                      <a:headEnd/>
                      <a:tailEnd/>
                    </a:ln>
                  </pic:spPr>
                </pic:pic>
              </a:graphicData>
            </a:graphic>
          </wp:inline>
        </w:drawing>
      </w:r>
    </w:p>
    <w:p>
      <w:pPr>
        <w:pStyle w:val="ImageCaption"/>
      </w:pPr>
      <w:r>
        <w:rPr>
          <w:bCs/>
          <w:b/>
        </w:rPr>
        <w:t xml:space="preserve">A</w:t>
      </w:r>
      <w:r>
        <w:t xml:space="preserve"> </w:t>
      </w:r>
      <w:r>
        <w:t xml:space="preserve">Evolutionary rate (dN/dS) for each residue in the apoA-I codon alignment.</w:t>
      </w:r>
      <w:r>
        <w:t xml:space="preserve"> </w:t>
      </w:r>
      <w:r>
        <w:rPr>
          <w:bCs/>
          <w:b/>
        </w:rPr>
        <w:t xml:space="preserve">B</w:t>
      </w:r>
      <w:r>
        <w:t xml:space="preserve"> </w:t>
      </w:r>
      <w:r>
        <w:t xml:space="preserve">Cartoon depicting the evidence of adaptive evolution for each site of apoA-I sequence; residues under purifying, neutral and diversifying selection are colored in blue, paleblue and orange, respectively.</w:t>
      </w:r>
    </w:p>
    <w:bookmarkEnd w:id="25"/>
    <w:bookmarkStart w:id="27" w:name="supplementary-figure-4"/>
    <w:p>
      <w:pPr>
        <w:pStyle w:val="Heading1"/>
      </w:pPr>
      <w:r>
        <w:t xml:space="preserve">Supplementary figure 4</w:t>
      </w:r>
    </w:p>
    <w:p>
      <w:pPr>
        <w:pStyle w:val="CaptionedFigure"/>
      </w:pPr>
      <w:r>
        <w:drawing>
          <wp:inline>
            <wp:extent cx="5334000" cy="3141223"/>
            <wp:effectExtent b="0" l="0" r="0" t="0"/>
            <wp:docPr descr="A Mean squared fluctuation (MSF) and B weighted contact number (WCN) profiles computed for each modelled structure" title="" id="1" name="Picture"/>
            <a:graphic>
              <a:graphicData uri="http://schemas.openxmlformats.org/drawingml/2006/picture">
                <pic:pic>
                  <pic:nvPicPr>
                    <pic:cNvPr descr="suppl_figure4.png" id="0" name="Picture"/>
                    <pic:cNvPicPr>
                      <a:picLocks noChangeArrowheads="1" noChangeAspect="1"/>
                    </pic:cNvPicPr>
                  </pic:nvPicPr>
                  <pic:blipFill>
                    <a:blip r:embed="rId26"/>
                    <a:stretch>
                      <a:fillRect/>
                    </a:stretch>
                  </pic:blipFill>
                  <pic:spPr bwMode="auto">
                    <a:xfrm>
                      <a:off x="0" y="0"/>
                      <a:ext cx="5334000" cy="3141223"/>
                    </a:xfrm>
                    <a:prstGeom prst="rect">
                      <a:avLst/>
                    </a:prstGeom>
                    <a:noFill/>
                    <a:ln w="9525">
                      <a:noFill/>
                      <a:headEnd/>
                      <a:tailEnd/>
                    </a:ln>
                  </pic:spPr>
                </pic:pic>
              </a:graphicData>
            </a:graphic>
          </wp:inline>
        </w:drawing>
      </w:r>
    </w:p>
    <w:p>
      <w:pPr>
        <w:pStyle w:val="ImageCaption"/>
      </w:pPr>
      <w:r>
        <w:rPr>
          <w:bCs/>
          <w:b/>
        </w:rPr>
        <w:t xml:space="preserve">A</w:t>
      </w:r>
      <w:r>
        <w:t xml:space="preserve"> </w:t>
      </w:r>
      <w:r>
        <w:t xml:space="preserve">Mean squared fluctuation (MSF) and</w:t>
      </w:r>
      <w:r>
        <w:t xml:space="preserve"> </w:t>
      </w:r>
      <w:r>
        <w:rPr>
          <w:bCs/>
          <w:b/>
        </w:rPr>
        <w:t xml:space="preserve">B</w:t>
      </w:r>
      <w:r>
        <w:t xml:space="preserve"> </w:t>
      </w:r>
      <w:r>
        <w:t xml:space="preserve">weighted contact number (WCN) profiles computed for each modelled structure</w:t>
      </w:r>
    </w:p>
    <w:bookmarkEnd w:id="27"/>
    <w:bookmarkStart w:id="29" w:name="supplementary-figure-5"/>
    <w:p>
      <w:pPr>
        <w:pStyle w:val="Heading1"/>
      </w:pPr>
      <w:r>
        <w:t xml:space="preserve">Supplementary figure 5</w:t>
      </w:r>
    </w:p>
    <w:p>
      <w:pPr>
        <w:pStyle w:val="CaptionedFigure"/>
      </w:pPr>
      <w:r>
        <w:drawing>
          <wp:inline>
            <wp:extent cx="5334000" cy="4150027"/>
            <wp:effectExtent b="0" l="0" r="0" t="0"/>
            <wp:docPr descr="FoldX thermodynamic destabilization landscape. ΔΔG values obtained by in silico saturation mutagenesis of apoA-I structure using the FoldX engine. Mutation introduced is depicted in the Y axis. Scales at the right indicate ΔΔG values expressed in kcal/mol." title="" id="1" name="Picture"/>
            <a:graphic>
              <a:graphicData uri="http://schemas.openxmlformats.org/drawingml/2006/picture">
                <pic:pic>
                  <pic:nvPicPr>
                    <pic:cNvPr descr="suppl_figure5.png" id="0" name="Picture"/>
                    <pic:cNvPicPr>
                      <a:picLocks noChangeArrowheads="1" noChangeAspect="1"/>
                    </pic:cNvPicPr>
                  </pic:nvPicPr>
                  <pic:blipFill>
                    <a:blip r:embed="rId28"/>
                    <a:stretch>
                      <a:fillRect/>
                    </a:stretch>
                  </pic:blipFill>
                  <pic:spPr bwMode="auto">
                    <a:xfrm>
                      <a:off x="0" y="0"/>
                      <a:ext cx="5334000" cy="4150027"/>
                    </a:xfrm>
                    <a:prstGeom prst="rect">
                      <a:avLst/>
                    </a:prstGeom>
                    <a:noFill/>
                    <a:ln w="9525">
                      <a:noFill/>
                      <a:headEnd/>
                      <a:tailEnd/>
                    </a:ln>
                  </pic:spPr>
                </pic:pic>
              </a:graphicData>
            </a:graphic>
          </wp:inline>
        </w:drawing>
      </w:r>
    </w:p>
    <w:p>
      <w:pPr>
        <w:pStyle w:val="ImageCaption"/>
      </w:pPr>
      <w:r>
        <w:t xml:space="preserve">FoldX thermodynamic destabilization landscape.</w:t>
      </w:r>
      <w:r>
        <w:t xml:space="preserve"> </w:t>
      </w:r>
      <w:r>
        <w:t xml:space="preserve">ΔΔG values obtained by</w:t>
      </w:r>
      <w:r>
        <w:t xml:space="preserve"> </w:t>
      </w:r>
      <w:r>
        <w:rPr>
          <w:iCs/>
          <w:i/>
        </w:rPr>
        <w:t xml:space="preserve">in silico</w:t>
      </w:r>
      <w:r>
        <w:t xml:space="preserve"> </w:t>
      </w:r>
      <w:r>
        <w:t xml:space="preserve">saturation mutagenesis of apoA-I structure using the FoldX engine. Mutation introduced is depicted in the Y axis. Scales at the right indicate ΔΔG values expressed in kcal/mol.</w:t>
      </w:r>
    </w:p>
    <w:bookmarkEnd w:id="29"/>
    <w:bookmarkStart w:id="31" w:name="supplementary-figure-6"/>
    <w:p>
      <w:pPr>
        <w:pStyle w:val="Heading1"/>
      </w:pPr>
      <w:r>
        <w:t xml:space="preserve">Supplementary figure 6</w:t>
      </w:r>
    </w:p>
    <w:p>
      <w:pPr>
        <w:pStyle w:val="CaptionedFigure"/>
      </w:pPr>
      <w:r>
        <w:drawing>
          <wp:inline>
            <wp:extent cx="5334000" cy="4122928"/>
            <wp:effectExtent b="0" l="0" r="0" t="0"/>
            <wp:docPr descr="Rhapsody pathogenicity landscape. Pathogenicity values obtained by in silico saturation mutagenesis of apoA-I structure using the Rhapsody package. Mutation introduced is depicted in the Y axis. Scales at the right indicate pathogenicity score (1 more pathogenic, 0 less pathogenic)" title="" id="1" name="Picture"/>
            <a:graphic>
              <a:graphicData uri="http://schemas.openxmlformats.org/drawingml/2006/picture">
                <pic:pic>
                  <pic:nvPicPr>
                    <pic:cNvPr descr="suppl_figure6.png" id="0" name="Picture"/>
                    <pic:cNvPicPr>
                      <a:picLocks noChangeArrowheads="1" noChangeAspect="1"/>
                    </pic:cNvPicPr>
                  </pic:nvPicPr>
                  <pic:blipFill>
                    <a:blip r:embed="rId30"/>
                    <a:stretch>
                      <a:fillRect/>
                    </a:stretch>
                  </pic:blipFill>
                  <pic:spPr bwMode="auto">
                    <a:xfrm>
                      <a:off x="0" y="0"/>
                      <a:ext cx="5334000" cy="4122928"/>
                    </a:xfrm>
                    <a:prstGeom prst="rect">
                      <a:avLst/>
                    </a:prstGeom>
                    <a:noFill/>
                    <a:ln w="9525">
                      <a:noFill/>
                      <a:headEnd/>
                      <a:tailEnd/>
                    </a:ln>
                  </pic:spPr>
                </pic:pic>
              </a:graphicData>
            </a:graphic>
          </wp:inline>
        </w:drawing>
      </w:r>
    </w:p>
    <w:p>
      <w:pPr>
        <w:pStyle w:val="ImageCaption"/>
      </w:pPr>
      <w:r>
        <w:t xml:space="preserve">Rhapsody pathogenicity landscape. Pathogenicity values obtained by</w:t>
      </w:r>
      <w:r>
        <w:t xml:space="preserve"> </w:t>
      </w:r>
      <w:r>
        <w:rPr>
          <w:iCs/>
          <w:i/>
        </w:rPr>
        <w:t xml:space="preserve">in silico</w:t>
      </w:r>
      <w:r>
        <w:t xml:space="preserve"> </w:t>
      </w:r>
      <w:r>
        <w:t xml:space="preserve">saturation mutagenesis of apoA-I structure using the Rhapsody package. Mutation introduced is depicted in the Y axis. Scales at the right indicate pathogenicity score (1 more pathogenic, 0 less pathogenic)</w:t>
      </w:r>
    </w:p>
    <w:bookmarkEnd w:id="31"/>
    <w:bookmarkStart w:id="33" w:name="supplementary-figure-7"/>
    <w:p>
      <w:pPr>
        <w:pStyle w:val="Heading1"/>
      </w:pPr>
      <w:r>
        <w:t xml:space="preserve">Supplementary figure 7</w:t>
      </w:r>
    </w:p>
    <w:p>
      <w:pPr>
        <w:pStyle w:val="FirstParagraph"/>
      </w:pPr>
      <w:r>
        <w:drawing>
          <wp:inline>
            <wp:extent cx="4880361" cy="6405379"/>
            <wp:effectExtent b="0" l="0" r="0" t="0"/>
            <wp:docPr descr="A-E Root mean square fluctuation (RMSF) profiles for apoA-I mutants. RMSF values were computed for each protein position over the last 100 ns of the simulation. Mean values are depicted together with its standard deviation." title="" id="1" name="Picture"/>
            <a:graphic>
              <a:graphicData uri="http://schemas.openxmlformats.org/drawingml/2006/picture">
                <pic:pic>
                  <pic:nvPicPr>
                    <pic:cNvPr descr="suppl_figure7.png" id="0" name="Picture"/>
                    <pic:cNvPicPr>
                      <a:picLocks noChangeArrowheads="1" noChangeAspect="1"/>
                    </pic:cNvPicPr>
                  </pic:nvPicPr>
                  <pic:blipFill>
                    <a:blip r:embed="rId32"/>
                    <a:stretch>
                      <a:fillRect/>
                    </a:stretch>
                  </pic:blipFill>
                  <pic:spPr bwMode="auto">
                    <a:xfrm>
                      <a:off x="0" y="0"/>
                      <a:ext cx="4880361" cy="6405379"/>
                    </a:xfrm>
                    <a:prstGeom prst="rect">
                      <a:avLst/>
                    </a:prstGeom>
                    <a:noFill/>
                    <a:ln w="9525">
                      <a:noFill/>
                      <a:headEnd/>
                      <a:tailEnd/>
                    </a:ln>
                  </pic:spPr>
                </pic:pic>
              </a:graphicData>
            </a:graphic>
          </wp:inline>
        </w:drawing>
      </w:r>
      <w:r>
        <w:t xml:space="preserve"> </w:t>
      </w:r>
    </w:p>
    <w:bookmarkEnd w:id="33"/>
    <w:bookmarkStart w:id="35" w:name="supplementary-figure-8"/>
    <w:p>
      <w:pPr>
        <w:pStyle w:val="Heading1"/>
      </w:pPr>
      <w:r>
        <w:t xml:space="preserve">Supplementary figure 8</w:t>
      </w:r>
    </w:p>
    <w:p>
      <w:pPr>
        <w:pStyle w:val="CaptionedFigure"/>
      </w:pPr>
      <w:r>
        <w:drawing>
          <wp:inline>
            <wp:extent cx="3810000" cy="2540000"/>
            <wp:effectExtent b="0" l="0" r="0" t="0"/>
            <wp:docPr descr="Graphical representation of the consensus model (WT) and the final snapshot of one of the replicas simulated for the G26R mutant. The substitution of glycine by arginine in position 26 destabilizes the helix bundle, expelling helix H6 with the concomitant solvent exposure of APR1 (left inset). A 180º view rotation shows the β-sheet hairpin formed between residues S224 and A232, corresponding to the APR4 (right inset)." title="" id="1" name="Picture"/>
            <a:graphic>
              <a:graphicData uri="http://schemas.openxmlformats.org/drawingml/2006/picture">
                <pic:pic>
                  <pic:nvPicPr>
                    <pic:cNvPr descr="suppl_figure8.tiff" id="0" name="Picture"/>
                    <pic:cNvPicPr>
                      <a:picLocks noChangeArrowheads="1" noChangeAspect="1"/>
                    </pic:cNvPicPr>
                  </pic:nvPicPr>
                  <pic:blipFill>
                    <a:blip r:embed="rId3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Graphical representation of the consensus model (WT) and the final snapshot of one of the replicas simulated for the G26R mutant. The substitution of glycine by arginine in position 26 destabilizes the helix bundle, expelling helix H6 with the concomitant solvent exposure of APR1 (left inset). A 180º view rotation shows the β-sheet hairpin formed between residues S224 and A232, corresponding to the APR4 (right inset).</w:t>
      </w:r>
    </w:p>
    <w:bookmarkEnd w:id="3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bbfa44e8"/>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tblStylePr w:type="firstRow">
      <w:tblPr>
        <w:jc w:val="left"/>
        <w:tblInd w:w="0" w:type="dxa"/>
      </w:tblPr>
      <w:trPr>
        <w:jc w:val="left"/>
      </w:trPr>
      <w:tcPr>
        <w:vAlign w:val="bottom"/>
        <w:tcBorders>
          <w:bottom w:val="single"/>
        </w:tcBorders>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22" Target="media/rId22.png" /><Relationship Type="http://schemas.openxmlformats.org/officeDocument/2006/relationships/image" Id="rId24" Target="media/rId24.png" /><Relationship Type="http://schemas.openxmlformats.org/officeDocument/2006/relationships/image" Id="rId26" Target="media/rId26.png" /><Relationship Type="http://schemas.openxmlformats.org/officeDocument/2006/relationships/image" Id="rId28" Target="media/rId28.png" /><Relationship Type="http://schemas.openxmlformats.org/officeDocument/2006/relationships/image" Id="rId30" Target="media/rId30.png" /><Relationship Type="http://schemas.openxmlformats.org/officeDocument/2006/relationships/image" Id="rId32" Target="media/rId32.png" /><Relationship Type="http://schemas.openxmlformats.org/officeDocument/2006/relationships/image" Id="rId34" Target="media/rId34.tiff" /></Relationships>
</file>

<file path=word/_rels/footnotes.xml.rels><?xml version="1.0" encoding="UTF-8"?>
<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2021-04-09T21:06:44Z</dcterms:created>
  <dcterms:modified xsi:type="dcterms:W3CDTF">2021-04-09T21:06:44Z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bibliography.bib</vt:lpwstr>
  </property>
  <property fmtid="{D5CDD505-2E9C-101B-9397-08002B2CF9AE}" pid="3" name="fontsize">
    <vt:lpwstr>12pt</vt:lpwstr>
  </property>
  <property fmtid="{D5CDD505-2E9C-101B-9397-08002B2CF9AE}" pid="4" name="geometry">
    <vt:lpwstr>top=1in,bottom=1in,left=1in,right=1in</vt:lpwstr>
  </property>
  <property fmtid="{D5CDD505-2E9C-101B-9397-08002B2CF9AE}" pid="5" name="linestretch">
    <vt:lpwstr>1.5</vt:lpwstr>
  </property>
  <property fmtid="{D5CDD505-2E9C-101B-9397-08002B2CF9AE}" pid="6" name="link-citations">
    <vt:lpwstr>yes</vt:lpwstr>
  </property>
  <property fmtid="{D5CDD505-2E9C-101B-9397-08002B2CF9AE}" pid="7" name="output">
    <vt:lpwstr>pdf_document</vt:lpwstr>
  </property>
  <property fmtid="{D5CDD505-2E9C-101B-9397-08002B2CF9AE}" pid="8" name="papersize">
    <vt:lpwstr>a4</vt:lpwstr>
  </property>
</Properties>
</file>